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53" w14:textId="77777777" w:rsidR="007059FA" w:rsidRPr="007059FA" w:rsidRDefault="007059FA" w:rsidP="007059FA">
      <w:pPr>
        <w:rPr>
          <w:b/>
          <w:bCs/>
        </w:rPr>
      </w:pPr>
      <w:r w:rsidRPr="007059FA">
        <w:rPr>
          <w:b/>
          <w:bCs/>
        </w:rPr>
        <w:t>Letter of Intent</w:t>
      </w:r>
    </w:p>
    <w:p w14:paraId="4FE729CE" w14:textId="77777777" w:rsidR="007059FA" w:rsidRPr="007059FA" w:rsidRDefault="007059FA" w:rsidP="007059FA">
      <w:r w:rsidRPr="007059FA">
        <w:rPr>
          <w:b/>
          <w:bCs/>
        </w:rPr>
        <w:t>September 11, 2025</w:t>
      </w:r>
    </w:p>
    <w:p w14:paraId="723B96B4" w14:textId="77777777" w:rsidR="007059FA" w:rsidRPr="007059FA" w:rsidRDefault="007059FA" w:rsidP="007059FA">
      <w:r w:rsidRPr="007059FA">
        <w:rPr>
          <w:b/>
          <w:bCs/>
        </w:rPr>
        <w:t>Via Email</w:t>
      </w:r>
    </w:p>
    <w:p w14:paraId="7311738B" w14:textId="77777777" w:rsidR="007059FA" w:rsidRPr="007059FA" w:rsidRDefault="007059FA" w:rsidP="007059FA">
      <w:r w:rsidRPr="007059FA">
        <w:t>Sarah Thompson</w:t>
      </w:r>
      <w:r w:rsidRPr="007059FA">
        <w:br/>
        <w:t>James Rivera</w:t>
      </w:r>
      <w:r w:rsidRPr="007059FA">
        <w:br/>
        <w:t>Managing Partners</w:t>
      </w:r>
      <w:r w:rsidRPr="007059FA">
        <w:br/>
        <w:t>Summit Risk Advisors, LLC</w:t>
      </w:r>
      <w:r w:rsidRPr="007059FA">
        <w:br/>
        <w:t>1842 Westhaven Blvd, Suite 300</w:t>
      </w:r>
      <w:r w:rsidRPr="007059FA">
        <w:br/>
        <w:t>Nashville, TN 37205</w:t>
      </w:r>
    </w:p>
    <w:p w14:paraId="7F8A9AF2" w14:textId="77777777" w:rsidR="007059FA" w:rsidRPr="007059FA" w:rsidRDefault="007059FA" w:rsidP="007059FA">
      <w:r w:rsidRPr="007059FA">
        <w:pict w14:anchorId="0646DFA0">
          <v:rect id="_x0000_i1103" style="width:0;height:1.5pt" o:hralign="center" o:hrstd="t" o:hr="t" fillcolor="#a0a0a0" stroked="f"/>
        </w:pict>
      </w:r>
    </w:p>
    <w:p w14:paraId="03673512" w14:textId="77777777" w:rsidR="007059FA" w:rsidRPr="007059FA" w:rsidRDefault="007059FA" w:rsidP="007059FA">
      <w:pPr>
        <w:rPr>
          <w:b/>
          <w:bCs/>
        </w:rPr>
      </w:pPr>
      <w:r w:rsidRPr="007059FA">
        <w:rPr>
          <w:b/>
          <w:bCs/>
        </w:rPr>
        <w:t>Re: Letter of Intent Regarding the Acquisition of Summit Risk Advisors, LLC by Horizon Advisory Group, Inc.</w:t>
      </w:r>
    </w:p>
    <w:p w14:paraId="296BB075" w14:textId="77777777" w:rsidR="007059FA" w:rsidRPr="007059FA" w:rsidRDefault="007059FA" w:rsidP="007059FA">
      <w:r w:rsidRPr="007059FA">
        <w:t>Dear Sarah and James,</w:t>
      </w:r>
    </w:p>
    <w:p w14:paraId="235D45D5" w14:textId="77777777" w:rsidR="007059FA" w:rsidRPr="007059FA" w:rsidRDefault="007059FA" w:rsidP="007059FA">
      <w:r w:rsidRPr="007059FA">
        <w:t>Horizon Advisory Group, Inc. (“Horizon” or the “Buyer”) is pleased to present this Letter of Intent (“LOI”) to acquire 100% of the equity interests of Summit Risk Advisors, LLC (“Summit” or the “Company”). We are impressed by the Company’s history of client retention, strong EBITDA margins, and dedicated leadership.</w:t>
      </w:r>
    </w:p>
    <w:p w14:paraId="4C4CC13D" w14:textId="77777777" w:rsidR="007059FA" w:rsidRPr="007059FA" w:rsidRDefault="007059FA" w:rsidP="007059FA">
      <w:r w:rsidRPr="007059FA">
        <w:t>This LOI sets forth the principal terms of the proposed transaction (the “Proposed Transaction”). Except for the binding provisions specified herein, this LOI is non-binding and intended only as a framework for the negotiation of definitive agreements.</w:t>
      </w:r>
    </w:p>
    <w:p w14:paraId="379E183A" w14:textId="77777777" w:rsidR="007059FA" w:rsidRPr="007059FA" w:rsidRDefault="007059FA" w:rsidP="007059FA">
      <w:r w:rsidRPr="007059FA">
        <w:pict w14:anchorId="67FDA030">
          <v:rect id="_x0000_i1104" style="width:0;height:1.5pt" o:hralign="center" o:hrstd="t" o:hr="t" fillcolor="#a0a0a0" stroked="f"/>
        </w:pict>
      </w:r>
    </w:p>
    <w:p w14:paraId="47144575" w14:textId="77777777" w:rsidR="007059FA" w:rsidRPr="007059FA" w:rsidRDefault="007059FA" w:rsidP="007059FA">
      <w:pPr>
        <w:rPr>
          <w:b/>
          <w:bCs/>
        </w:rPr>
      </w:pPr>
      <w:r w:rsidRPr="007059FA">
        <w:rPr>
          <w:b/>
          <w:bCs/>
        </w:rPr>
        <w:t>1. Purchase Price &amp; Valuation</w:t>
      </w:r>
    </w:p>
    <w:p w14:paraId="6FB971EB" w14:textId="77777777" w:rsidR="007059FA" w:rsidRPr="007059FA" w:rsidRDefault="007059FA" w:rsidP="007059FA">
      <w:pPr>
        <w:numPr>
          <w:ilvl w:val="0"/>
          <w:numId w:val="1"/>
        </w:numPr>
      </w:pPr>
      <w:r w:rsidRPr="007059FA">
        <w:rPr>
          <w:b/>
          <w:bCs/>
        </w:rPr>
        <w:t>Normalized EBITDA:</w:t>
      </w:r>
      <w:r w:rsidRPr="007059FA">
        <w:t xml:space="preserve"> $2,400,000 (subject to due diligence)</w:t>
      </w:r>
    </w:p>
    <w:p w14:paraId="38542B19" w14:textId="77777777" w:rsidR="007059FA" w:rsidRPr="007059FA" w:rsidRDefault="007059FA" w:rsidP="007059FA">
      <w:pPr>
        <w:numPr>
          <w:ilvl w:val="0"/>
          <w:numId w:val="1"/>
        </w:numPr>
      </w:pPr>
      <w:r w:rsidRPr="007059FA">
        <w:rPr>
          <w:b/>
          <w:bCs/>
        </w:rPr>
        <w:t>Valuation Multiple:</w:t>
      </w:r>
      <w:r w:rsidRPr="007059FA">
        <w:t xml:space="preserve"> 11.25x</w:t>
      </w:r>
    </w:p>
    <w:p w14:paraId="10063920" w14:textId="77777777" w:rsidR="007059FA" w:rsidRPr="007059FA" w:rsidRDefault="007059FA" w:rsidP="007059FA">
      <w:pPr>
        <w:numPr>
          <w:ilvl w:val="0"/>
          <w:numId w:val="1"/>
        </w:numPr>
      </w:pPr>
      <w:r w:rsidRPr="007059FA">
        <w:rPr>
          <w:b/>
          <w:bCs/>
        </w:rPr>
        <w:t>Enterprise Value:</w:t>
      </w:r>
      <w:r w:rsidRPr="007059FA">
        <w:t xml:space="preserve"> $27,000,000</w:t>
      </w:r>
    </w:p>
    <w:p w14:paraId="59CA2856" w14:textId="77777777" w:rsidR="007059FA" w:rsidRPr="007059FA" w:rsidRDefault="007059FA" w:rsidP="007059FA">
      <w:r w:rsidRPr="007059FA">
        <w:rPr>
          <w:b/>
          <w:bCs/>
        </w:rPr>
        <w:t>Purchase Price Breakdown:</w:t>
      </w:r>
    </w:p>
    <w:p w14:paraId="3B7A4F6C" w14:textId="77777777" w:rsidR="007059FA" w:rsidRPr="007059FA" w:rsidRDefault="007059FA" w:rsidP="007059FA">
      <w:pPr>
        <w:numPr>
          <w:ilvl w:val="0"/>
          <w:numId w:val="2"/>
        </w:numPr>
      </w:pPr>
      <w:r w:rsidRPr="007059FA">
        <w:rPr>
          <w:b/>
          <w:bCs/>
        </w:rPr>
        <w:t>Cash at Closing:</w:t>
      </w:r>
      <w:r w:rsidRPr="007059FA">
        <w:t xml:space="preserve"> $18,900,000 (70%)</w:t>
      </w:r>
    </w:p>
    <w:p w14:paraId="5E45B674" w14:textId="77777777" w:rsidR="007059FA" w:rsidRPr="007059FA" w:rsidRDefault="007059FA" w:rsidP="007059FA">
      <w:pPr>
        <w:numPr>
          <w:ilvl w:val="0"/>
          <w:numId w:val="2"/>
        </w:numPr>
      </w:pPr>
      <w:r w:rsidRPr="007059FA">
        <w:rPr>
          <w:b/>
          <w:bCs/>
        </w:rPr>
        <w:t>Horizon Equity Rollover:</w:t>
      </w:r>
      <w:r w:rsidRPr="007059FA">
        <w:t xml:space="preserve"> $4,050,000 (15%)</w:t>
      </w:r>
    </w:p>
    <w:p w14:paraId="33756046" w14:textId="77777777" w:rsidR="007059FA" w:rsidRPr="007059FA" w:rsidRDefault="007059FA" w:rsidP="007059FA">
      <w:pPr>
        <w:numPr>
          <w:ilvl w:val="0"/>
          <w:numId w:val="2"/>
        </w:numPr>
      </w:pPr>
      <w:r w:rsidRPr="007059FA">
        <w:rPr>
          <w:b/>
          <w:bCs/>
        </w:rPr>
        <w:t>Seller Note:</w:t>
      </w:r>
      <w:r w:rsidRPr="007059FA">
        <w:t xml:space="preserve"> $2,700,000 (10%)</w:t>
      </w:r>
    </w:p>
    <w:p w14:paraId="38FB38FE" w14:textId="77777777" w:rsidR="007059FA" w:rsidRPr="007059FA" w:rsidRDefault="007059FA" w:rsidP="007059FA">
      <w:pPr>
        <w:numPr>
          <w:ilvl w:val="0"/>
          <w:numId w:val="2"/>
        </w:numPr>
      </w:pPr>
      <w:r w:rsidRPr="007059FA">
        <w:rPr>
          <w:b/>
          <w:bCs/>
        </w:rPr>
        <w:lastRenderedPageBreak/>
        <w:t>Earn-Out Potential:</w:t>
      </w:r>
      <w:r w:rsidRPr="007059FA">
        <w:t xml:space="preserve"> $1,350,000 (5%)</w:t>
      </w:r>
    </w:p>
    <w:p w14:paraId="18C640C4" w14:textId="77777777" w:rsidR="007059FA" w:rsidRPr="007059FA" w:rsidRDefault="007059FA" w:rsidP="007059FA">
      <w:r w:rsidRPr="007059FA">
        <w:pict w14:anchorId="07F751F1">
          <v:rect id="_x0000_i1105" style="width:0;height:1.5pt" o:hralign="center" o:hrstd="t" o:hr="t" fillcolor="#a0a0a0" stroked="f"/>
        </w:pict>
      </w:r>
    </w:p>
    <w:p w14:paraId="08AF668A" w14:textId="77777777" w:rsidR="007059FA" w:rsidRPr="007059FA" w:rsidRDefault="007059FA" w:rsidP="007059FA">
      <w:pPr>
        <w:rPr>
          <w:b/>
          <w:bCs/>
        </w:rPr>
      </w:pPr>
      <w:r w:rsidRPr="007059FA">
        <w:rPr>
          <w:b/>
          <w:bCs/>
        </w:rPr>
        <w:t>2. Earn-Out Terms</w:t>
      </w:r>
    </w:p>
    <w:p w14:paraId="4BFD6C9C" w14:textId="77777777" w:rsidR="007059FA" w:rsidRPr="007059FA" w:rsidRDefault="007059FA" w:rsidP="007059FA">
      <w:pPr>
        <w:numPr>
          <w:ilvl w:val="0"/>
          <w:numId w:val="3"/>
        </w:numPr>
      </w:pPr>
      <w:r w:rsidRPr="007059FA">
        <w:rPr>
          <w:b/>
          <w:bCs/>
        </w:rPr>
        <w:t>Earn-Out Period:</w:t>
      </w:r>
      <w:r w:rsidRPr="007059FA">
        <w:t xml:space="preserve"> 3 years post-closing</w:t>
      </w:r>
    </w:p>
    <w:p w14:paraId="543C8A84" w14:textId="77777777" w:rsidR="007059FA" w:rsidRPr="007059FA" w:rsidRDefault="007059FA" w:rsidP="007059FA">
      <w:pPr>
        <w:numPr>
          <w:ilvl w:val="0"/>
          <w:numId w:val="3"/>
        </w:numPr>
      </w:pPr>
      <w:r w:rsidRPr="007059FA">
        <w:rPr>
          <w:b/>
          <w:bCs/>
        </w:rPr>
        <w:t>Performance Hurdle:</w:t>
      </w:r>
      <w:r w:rsidRPr="007059FA">
        <w:t xml:space="preserve"> 6% annual revenue growth and 7% annual EBITDA growth compared to closing baseline</w:t>
      </w:r>
    </w:p>
    <w:p w14:paraId="319ACEBC" w14:textId="77777777" w:rsidR="007059FA" w:rsidRPr="007059FA" w:rsidRDefault="007059FA" w:rsidP="007059FA">
      <w:pPr>
        <w:numPr>
          <w:ilvl w:val="0"/>
          <w:numId w:val="3"/>
        </w:numPr>
      </w:pPr>
      <w:r w:rsidRPr="007059FA">
        <w:rPr>
          <w:b/>
          <w:bCs/>
        </w:rPr>
        <w:t>Annual Cap:</w:t>
      </w:r>
      <w:r w:rsidRPr="007059FA">
        <w:t xml:space="preserve"> $450,000 per year</w:t>
      </w:r>
    </w:p>
    <w:p w14:paraId="1AF9C18A" w14:textId="77777777" w:rsidR="007059FA" w:rsidRPr="007059FA" w:rsidRDefault="007059FA" w:rsidP="007059FA">
      <w:pPr>
        <w:numPr>
          <w:ilvl w:val="0"/>
          <w:numId w:val="3"/>
        </w:numPr>
      </w:pPr>
      <w:r w:rsidRPr="007059FA">
        <w:rPr>
          <w:b/>
          <w:bCs/>
        </w:rPr>
        <w:t>Payment Mix:</w:t>
      </w:r>
      <w:r w:rsidRPr="007059FA">
        <w:t xml:space="preserve"> 100% cash, paid within 90 days of fiscal year end</w:t>
      </w:r>
    </w:p>
    <w:p w14:paraId="7A828A4B" w14:textId="77777777" w:rsidR="007059FA" w:rsidRPr="007059FA" w:rsidRDefault="007059FA" w:rsidP="007059FA">
      <w:r w:rsidRPr="007059FA">
        <w:pict w14:anchorId="360F51BC">
          <v:rect id="_x0000_i1106" style="width:0;height:1.5pt" o:hralign="center" o:hrstd="t" o:hr="t" fillcolor="#a0a0a0" stroked="f"/>
        </w:pict>
      </w:r>
    </w:p>
    <w:p w14:paraId="7D00642A" w14:textId="77777777" w:rsidR="007059FA" w:rsidRPr="007059FA" w:rsidRDefault="007059FA" w:rsidP="007059FA">
      <w:pPr>
        <w:rPr>
          <w:b/>
          <w:bCs/>
        </w:rPr>
      </w:pPr>
      <w:r w:rsidRPr="007059FA">
        <w:rPr>
          <w:b/>
          <w:bCs/>
        </w:rPr>
        <w:t>3. Structure &amp; Adjustments</w:t>
      </w:r>
    </w:p>
    <w:p w14:paraId="130FA874" w14:textId="77777777" w:rsidR="007059FA" w:rsidRPr="007059FA" w:rsidRDefault="007059FA" w:rsidP="007059FA">
      <w:pPr>
        <w:numPr>
          <w:ilvl w:val="0"/>
          <w:numId w:val="4"/>
        </w:numPr>
      </w:pPr>
      <w:r w:rsidRPr="007059FA">
        <w:rPr>
          <w:b/>
          <w:bCs/>
        </w:rPr>
        <w:t>Structure:</w:t>
      </w:r>
      <w:r w:rsidRPr="007059FA">
        <w:t xml:space="preserve"> Equity purchase of 100% of membership interests in Summit</w:t>
      </w:r>
    </w:p>
    <w:p w14:paraId="5ABE3418" w14:textId="77777777" w:rsidR="007059FA" w:rsidRPr="007059FA" w:rsidRDefault="007059FA" w:rsidP="007059FA">
      <w:pPr>
        <w:numPr>
          <w:ilvl w:val="0"/>
          <w:numId w:val="4"/>
        </w:numPr>
      </w:pPr>
      <w:r w:rsidRPr="007059FA">
        <w:rPr>
          <w:b/>
          <w:bCs/>
        </w:rPr>
        <w:t>Debt-Free, Cash-Free Basis:</w:t>
      </w:r>
      <w:r w:rsidRPr="007059FA">
        <w:t xml:space="preserve"> All financial obligations, including shareholder loans, to be satisfied before or at closing</w:t>
      </w:r>
    </w:p>
    <w:p w14:paraId="4DE16146" w14:textId="77777777" w:rsidR="007059FA" w:rsidRPr="007059FA" w:rsidRDefault="007059FA" w:rsidP="007059FA">
      <w:pPr>
        <w:numPr>
          <w:ilvl w:val="0"/>
          <w:numId w:val="4"/>
        </w:numPr>
      </w:pPr>
      <w:r w:rsidRPr="007059FA">
        <w:rPr>
          <w:b/>
          <w:bCs/>
        </w:rPr>
        <w:t>Working Capital:</w:t>
      </w:r>
      <w:r w:rsidRPr="007059FA">
        <w:t xml:space="preserve"> Closing consideration assumes delivery of normalized net working capital of $0, subject to post-closing true-up</w:t>
      </w:r>
    </w:p>
    <w:p w14:paraId="5A5D8B20" w14:textId="77777777" w:rsidR="007059FA" w:rsidRPr="007059FA" w:rsidRDefault="007059FA" w:rsidP="007059FA">
      <w:r w:rsidRPr="007059FA">
        <w:pict w14:anchorId="04BF6235">
          <v:rect id="_x0000_i1107" style="width:0;height:1.5pt" o:hralign="center" o:hrstd="t" o:hr="t" fillcolor="#a0a0a0" stroked="f"/>
        </w:pict>
      </w:r>
    </w:p>
    <w:p w14:paraId="51AF3C84" w14:textId="77777777" w:rsidR="007059FA" w:rsidRPr="007059FA" w:rsidRDefault="007059FA" w:rsidP="007059FA">
      <w:pPr>
        <w:rPr>
          <w:b/>
          <w:bCs/>
        </w:rPr>
      </w:pPr>
      <w:r w:rsidRPr="007059FA">
        <w:rPr>
          <w:b/>
          <w:bCs/>
        </w:rPr>
        <w:t>4. Employment &amp; Key Individuals</w:t>
      </w:r>
    </w:p>
    <w:p w14:paraId="4AB17163" w14:textId="77777777" w:rsidR="007059FA" w:rsidRPr="007059FA" w:rsidRDefault="007059FA" w:rsidP="007059FA">
      <w:pPr>
        <w:numPr>
          <w:ilvl w:val="0"/>
          <w:numId w:val="5"/>
        </w:numPr>
      </w:pPr>
      <w:r w:rsidRPr="007059FA">
        <w:rPr>
          <w:b/>
          <w:bCs/>
        </w:rPr>
        <w:t>Sarah Thompson</w:t>
      </w:r>
      <w:r w:rsidRPr="007059FA">
        <w:t xml:space="preserve"> – Employment agreement: 4 years, $525,000 annual target compensation (base + bonus)</w:t>
      </w:r>
    </w:p>
    <w:p w14:paraId="1457D037" w14:textId="77777777" w:rsidR="007059FA" w:rsidRPr="007059FA" w:rsidRDefault="007059FA" w:rsidP="007059FA">
      <w:pPr>
        <w:numPr>
          <w:ilvl w:val="0"/>
          <w:numId w:val="5"/>
        </w:numPr>
      </w:pPr>
      <w:r w:rsidRPr="007059FA">
        <w:rPr>
          <w:b/>
          <w:bCs/>
        </w:rPr>
        <w:t>James Rivera</w:t>
      </w:r>
      <w:r w:rsidRPr="007059FA">
        <w:t xml:space="preserve"> – Employment agreement: 3 years, $250,000 annual target compensation</w:t>
      </w:r>
    </w:p>
    <w:p w14:paraId="07DB7B04" w14:textId="77777777" w:rsidR="007059FA" w:rsidRPr="007059FA" w:rsidRDefault="007059FA" w:rsidP="007059FA">
      <w:pPr>
        <w:numPr>
          <w:ilvl w:val="0"/>
          <w:numId w:val="5"/>
        </w:numPr>
      </w:pPr>
      <w:r w:rsidRPr="007059FA">
        <w:t>Other staff – All full-time employees to be offered comparable employment with access to Horizon benefits programs</w:t>
      </w:r>
    </w:p>
    <w:p w14:paraId="0A0B024D" w14:textId="77777777" w:rsidR="007059FA" w:rsidRPr="007059FA" w:rsidRDefault="007059FA" w:rsidP="007059FA">
      <w:r w:rsidRPr="007059FA">
        <w:pict w14:anchorId="3D27349D">
          <v:rect id="_x0000_i1108" style="width:0;height:1.5pt" o:hralign="center" o:hrstd="t" o:hr="t" fillcolor="#a0a0a0" stroked="f"/>
        </w:pict>
      </w:r>
    </w:p>
    <w:p w14:paraId="63640023" w14:textId="77777777" w:rsidR="007059FA" w:rsidRPr="007059FA" w:rsidRDefault="007059FA" w:rsidP="007059FA">
      <w:pPr>
        <w:rPr>
          <w:b/>
          <w:bCs/>
        </w:rPr>
      </w:pPr>
      <w:r w:rsidRPr="007059FA">
        <w:rPr>
          <w:b/>
          <w:bCs/>
        </w:rPr>
        <w:t>5. Covenants &amp; Insurance</w:t>
      </w:r>
    </w:p>
    <w:p w14:paraId="0E663973" w14:textId="77777777" w:rsidR="007059FA" w:rsidRPr="007059FA" w:rsidRDefault="007059FA" w:rsidP="007059FA">
      <w:pPr>
        <w:numPr>
          <w:ilvl w:val="0"/>
          <w:numId w:val="6"/>
        </w:numPr>
      </w:pPr>
      <w:r w:rsidRPr="007059FA">
        <w:rPr>
          <w:b/>
          <w:bCs/>
        </w:rPr>
        <w:t>Non-Compete &amp; Non-Solicitation:</w:t>
      </w:r>
      <w:r w:rsidRPr="007059FA">
        <w:t xml:space="preserve"> 5 years post-closing, or 2 years following employment termination, whichever is longer</w:t>
      </w:r>
    </w:p>
    <w:p w14:paraId="02B6B87D" w14:textId="77777777" w:rsidR="007059FA" w:rsidRPr="007059FA" w:rsidRDefault="007059FA" w:rsidP="007059FA">
      <w:pPr>
        <w:numPr>
          <w:ilvl w:val="0"/>
          <w:numId w:val="6"/>
        </w:numPr>
      </w:pPr>
      <w:r w:rsidRPr="007059FA">
        <w:rPr>
          <w:b/>
          <w:bCs/>
        </w:rPr>
        <w:t>Employee Agreements:</w:t>
      </w:r>
      <w:r w:rsidRPr="007059FA">
        <w:t xml:space="preserve"> All employees will execute confidentiality, non-disclosure, and non-solicitation agreements</w:t>
      </w:r>
    </w:p>
    <w:p w14:paraId="36D0405E" w14:textId="77777777" w:rsidR="007059FA" w:rsidRPr="007059FA" w:rsidRDefault="007059FA" w:rsidP="007059FA">
      <w:pPr>
        <w:numPr>
          <w:ilvl w:val="0"/>
          <w:numId w:val="6"/>
        </w:numPr>
      </w:pPr>
      <w:r w:rsidRPr="007059FA">
        <w:rPr>
          <w:b/>
          <w:bCs/>
        </w:rPr>
        <w:lastRenderedPageBreak/>
        <w:t>Tail Insurance:</w:t>
      </w:r>
      <w:r w:rsidRPr="007059FA">
        <w:t xml:space="preserve"> Summit to purchase E&amp;O, D&amp;O, EPLI, and cyber liability tail coverage for no less than 5 years</w:t>
      </w:r>
    </w:p>
    <w:p w14:paraId="6E422F63" w14:textId="77777777" w:rsidR="007059FA" w:rsidRPr="007059FA" w:rsidRDefault="007059FA" w:rsidP="007059FA">
      <w:r w:rsidRPr="007059FA">
        <w:pict w14:anchorId="241A4F11">
          <v:rect id="_x0000_i1109" style="width:0;height:1.5pt" o:hralign="center" o:hrstd="t" o:hr="t" fillcolor="#a0a0a0" stroked="f"/>
        </w:pict>
      </w:r>
    </w:p>
    <w:p w14:paraId="7C20E69E" w14:textId="77777777" w:rsidR="007059FA" w:rsidRPr="007059FA" w:rsidRDefault="007059FA" w:rsidP="007059FA">
      <w:pPr>
        <w:rPr>
          <w:b/>
          <w:bCs/>
        </w:rPr>
      </w:pPr>
      <w:r w:rsidRPr="007059FA">
        <w:rPr>
          <w:b/>
          <w:bCs/>
        </w:rPr>
        <w:t>6. Due Diligence</w:t>
      </w:r>
    </w:p>
    <w:p w14:paraId="153C2CC5" w14:textId="77777777" w:rsidR="007059FA" w:rsidRPr="007059FA" w:rsidRDefault="007059FA" w:rsidP="007059FA">
      <w:r w:rsidRPr="007059FA">
        <w:t>Due diligence will cover accounting, finance, legal, HR, tax, contracts, technology, and compliance. Horizon will engage [National Advisory Firm] for a Quality of Earnings review.</w:t>
      </w:r>
    </w:p>
    <w:p w14:paraId="408E2E4D" w14:textId="77777777" w:rsidR="007059FA" w:rsidRPr="007059FA" w:rsidRDefault="007059FA" w:rsidP="007059FA">
      <w:r w:rsidRPr="007059FA">
        <w:pict w14:anchorId="20580576">
          <v:rect id="_x0000_i1110" style="width:0;height:1.5pt" o:hralign="center" o:hrstd="t" o:hr="t" fillcolor="#a0a0a0" stroked="f"/>
        </w:pict>
      </w:r>
    </w:p>
    <w:p w14:paraId="2993044F" w14:textId="77777777" w:rsidR="007059FA" w:rsidRPr="007059FA" w:rsidRDefault="007059FA" w:rsidP="007059FA">
      <w:pPr>
        <w:rPr>
          <w:b/>
          <w:bCs/>
        </w:rPr>
      </w:pPr>
      <w:r w:rsidRPr="007059FA">
        <w:rPr>
          <w:b/>
          <w:bCs/>
        </w:rPr>
        <w:t>7. Exclusivity</w:t>
      </w:r>
    </w:p>
    <w:p w14:paraId="0819175B" w14:textId="77777777" w:rsidR="007059FA" w:rsidRPr="007059FA" w:rsidRDefault="007059FA" w:rsidP="007059FA">
      <w:r w:rsidRPr="007059FA">
        <w:t>For 90 days from execution of this LOI, Seller agrees not to solicit or negotiate with other parties regarding any alternative transaction.</w:t>
      </w:r>
    </w:p>
    <w:p w14:paraId="45A1AA91" w14:textId="77777777" w:rsidR="007059FA" w:rsidRPr="007059FA" w:rsidRDefault="007059FA" w:rsidP="007059FA">
      <w:r w:rsidRPr="007059FA">
        <w:pict w14:anchorId="6BD641E0">
          <v:rect id="_x0000_i1111" style="width:0;height:1.5pt" o:hralign="center" o:hrstd="t" o:hr="t" fillcolor="#a0a0a0" stroked="f"/>
        </w:pict>
      </w:r>
    </w:p>
    <w:p w14:paraId="66195277" w14:textId="77777777" w:rsidR="007059FA" w:rsidRPr="007059FA" w:rsidRDefault="007059FA" w:rsidP="007059FA">
      <w:pPr>
        <w:rPr>
          <w:b/>
          <w:bCs/>
        </w:rPr>
      </w:pPr>
      <w:r w:rsidRPr="007059FA">
        <w:rPr>
          <w:b/>
          <w:bCs/>
        </w:rPr>
        <w:t>8. Confidentiality</w:t>
      </w:r>
    </w:p>
    <w:p w14:paraId="747D9E9B" w14:textId="77777777" w:rsidR="007059FA" w:rsidRPr="007059FA" w:rsidRDefault="007059FA" w:rsidP="007059FA">
      <w:r w:rsidRPr="007059FA">
        <w:t>The contents of this LOI and all ongoing discussions shall remain confidential except as required by law or disclosed to advisors.</w:t>
      </w:r>
    </w:p>
    <w:p w14:paraId="123A986C" w14:textId="77777777" w:rsidR="007059FA" w:rsidRPr="007059FA" w:rsidRDefault="007059FA" w:rsidP="007059FA">
      <w:r w:rsidRPr="007059FA">
        <w:pict w14:anchorId="15AA2F8E">
          <v:rect id="_x0000_i1112" style="width:0;height:1.5pt" o:hralign="center" o:hrstd="t" o:hr="t" fillcolor="#a0a0a0" stroked="f"/>
        </w:pict>
      </w:r>
    </w:p>
    <w:p w14:paraId="6CF6214D" w14:textId="77777777" w:rsidR="007059FA" w:rsidRPr="007059FA" w:rsidRDefault="007059FA" w:rsidP="007059FA">
      <w:pPr>
        <w:rPr>
          <w:b/>
          <w:bCs/>
        </w:rPr>
      </w:pPr>
      <w:r w:rsidRPr="007059FA">
        <w:rPr>
          <w:b/>
          <w:bCs/>
        </w:rPr>
        <w:t>9. Timeline</w:t>
      </w:r>
    </w:p>
    <w:p w14:paraId="39687E69" w14:textId="77777777" w:rsidR="007059FA" w:rsidRPr="007059FA" w:rsidRDefault="007059FA" w:rsidP="007059FA">
      <w:pPr>
        <w:numPr>
          <w:ilvl w:val="0"/>
          <w:numId w:val="7"/>
        </w:numPr>
      </w:pPr>
      <w:r w:rsidRPr="007059FA">
        <w:rPr>
          <w:b/>
          <w:bCs/>
        </w:rPr>
        <w:t>LOI Execution:</w:t>
      </w:r>
      <w:r w:rsidRPr="007059FA">
        <w:t xml:space="preserve"> September 11, 2025</w:t>
      </w:r>
    </w:p>
    <w:p w14:paraId="78C64A4C" w14:textId="77777777" w:rsidR="007059FA" w:rsidRPr="007059FA" w:rsidRDefault="007059FA" w:rsidP="007059FA">
      <w:pPr>
        <w:numPr>
          <w:ilvl w:val="0"/>
          <w:numId w:val="7"/>
        </w:numPr>
      </w:pPr>
      <w:r w:rsidRPr="007059FA">
        <w:rPr>
          <w:b/>
          <w:bCs/>
        </w:rPr>
        <w:t>Target Closing:</w:t>
      </w:r>
      <w:r w:rsidRPr="007059FA">
        <w:t xml:space="preserve"> December 20, 2025 (approximately 100 days post-signing)</w:t>
      </w:r>
    </w:p>
    <w:p w14:paraId="6A1D42BD" w14:textId="77777777" w:rsidR="007059FA" w:rsidRPr="007059FA" w:rsidRDefault="007059FA" w:rsidP="007059FA">
      <w:r w:rsidRPr="007059FA">
        <w:pict w14:anchorId="3CEF13C2">
          <v:rect id="_x0000_i1113" style="width:0;height:1.5pt" o:hralign="center" o:hrstd="t" o:hr="t" fillcolor="#a0a0a0" stroked="f"/>
        </w:pict>
      </w:r>
    </w:p>
    <w:p w14:paraId="7F9633AF" w14:textId="77777777" w:rsidR="007059FA" w:rsidRPr="007059FA" w:rsidRDefault="007059FA" w:rsidP="007059FA">
      <w:pPr>
        <w:rPr>
          <w:b/>
          <w:bCs/>
        </w:rPr>
      </w:pPr>
      <w:r w:rsidRPr="007059FA">
        <w:rPr>
          <w:b/>
          <w:bCs/>
        </w:rPr>
        <w:t>10. Binding Provisions</w:t>
      </w:r>
    </w:p>
    <w:p w14:paraId="4049B769" w14:textId="77777777" w:rsidR="007059FA" w:rsidRPr="007059FA" w:rsidRDefault="007059FA" w:rsidP="007059FA">
      <w:r w:rsidRPr="007059FA">
        <w:t>The following provisions are binding: “Exclusivity,” “Confidentiality,” “Expenses,” “Governing Law,” and “Entire Agreement.”</w:t>
      </w:r>
    </w:p>
    <w:p w14:paraId="670E1447" w14:textId="77777777" w:rsidR="007059FA" w:rsidRPr="007059FA" w:rsidRDefault="007059FA" w:rsidP="007059FA">
      <w:r w:rsidRPr="007059FA">
        <w:pict w14:anchorId="3AD5C3A8">
          <v:rect id="_x0000_i1114" style="width:0;height:1.5pt" o:hralign="center" o:hrstd="t" o:hr="t" fillcolor="#a0a0a0" stroked="f"/>
        </w:pict>
      </w:r>
    </w:p>
    <w:p w14:paraId="222CDF88" w14:textId="77777777" w:rsidR="007059FA" w:rsidRPr="007059FA" w:rsidRDefault="007059FA" w:rsidP="007059FA">
      <w:pPr>
        <w:rPr>
          <w:b/>
          <w:bCs/>
        </w:rPr>
      </w:pPr>
      <w:r w:rsidRPr="007059FA">
        <w:rPr>
          <w:b/>
          <w:bCs/>
        </w:rPr>
        <w:t>11. Governing Law</w:t>
      </w:r>
    </w:p>
    <w:p w14:paraId="2E8821EC" w14:textId="77777777" w:rsidR="007059FA" w:rsidRPr="007059FA" w:rsidRDefault="007059FA" w:rsidP="007059FA">
      <w:r w:rsidRPr="007059FA">
        <w:t>This LOI shall be governed by and construed in accordance with the laws of the State of Delaware.</w:t>
      </w:r>
    </w:p>
    <w:p w14:paraId="378A3972" w14:textId="77777777" w:rsidR="007059FA" w:rsidRPr="007059FA" w:rsidRDefault="007059FA" w:rsidP="007059FA">
      <w:r w:rsidRPr="007059FA">
        <w:pict w14:anchorId="35BFD721">
          <v:rect id="_x0000_i1115" style="width:0;height:1.5pt" o:hralign="center" o:hrstd="t" o:hr="t" fillcolor="#a0a0a0" stroked="f"/>
        </w:pict>
      </w:r>
    </w:p>
    <w:p w14:paraId="4CCA94AB" w14:textId="77777777" w:rsidR="007059FA" w:rsidRPr="007059FA" w:rsidRDefault="007059FA" w:rsidP="007059FA">
      <w:pPr>
        <w:rPr>
          <w:b/>
          <w:bCs/>
        </w:rPr>
      </w:pPr>
      <w:r w:rsidRPr="007059FA">
        <w:rPr>
          <w:b/>
          <w:bCs/>
        </w:rPr>
        <w:t>Conclusion</w:t>
      </w:r>
    </w:p>
    <w:p w14:paraId="12B63E30" w14:textId="77777777" w:rsidR="007059FA" w:rsidRPr="007059FA" w:rsidRDefault="007059FA" w:rsidP="007059FA">
      <w:r w:rsidRPr="007059FA">
        <w:lastRenderedPageBreak/>
        <w:t>We look forward to the opportunity of working with Summit to achieve accelerated growth together. Horizon is committed to closing this transaction expeditiously and with minimal disruption to your team and clients.</w:t>
      </w:r>
    </w:p>
    <w:p w14:paraId="747C77A6" w14:textId="77777777" w:rsidR="007059FA" w:rsidRPr="007059FA" w:rsidRDefault="007059FA" w:rsidP="007059FA">
      <w:r w:rsidRPr="007059FA">
        <w:t>Sincerely,</w:t>
      </w:r>
    </w:p>
    <w:p w14:paraId="66070EB1" w14:textId="77777777" w:rsidR="007059FA" w:rsidRPr="007059FA" w:rsidRDefault="007059FA" w:rsidP="007059FA">
      <w:r w:rsidRPr="007059FA">
        <w:rPr>
          <w:b/>
          <w:bCs/>
        </w:rPr>
        <w:t>Rebecca Morgan</w:t>
      </w:r>
      <w:r w:rsidRPr="007059FA">
        <w:br/>
        <w:t>Chief Executive Officer</w:t>
      </w:r>
      <w:r w:rsidRPr="007059FA">
        <w:br/>
        <w:t>Horizon Advisory Group, Inc.</w:t>
      </w:r>
      <w:r w:rsidRPr="007059FA">
        <w:br/>
        <w:t>1500 Market Street, 12th Floor</w:t>
      </w:r>
      <w:r w:rsidRPr="007059FA">
        <w:br/>
        <w:t>Philadelphia, PA 19102</w:t>
      </w:r>
    </w:p>
    <w:p w14:paraId="71F90623" w14:textId="77777777" w:rsidR="008C3BE8" w:rsidRDefault="008C3BE8"/>
    <w:sectPr w:rsidR="008C3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D7E"/>
    <w:multiLevelType w:val="multilevel"/>
    <w:tmpl w:val="451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6404D"/>
    <w:multiLevelType w:val="multilevel"/>
    <w:tmpl w:val="0EE6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56678"/>
    <w:multiLevelType w:val="multilevel"/>
    <w:tmpl w:val="D18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C4D66"/>
    <w:multiLevelType w:val="multilevel"/>
    <w:tmpl w:val="E8CA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31678"/>
    <w:multiLevelType w:val="multilevel"/>
    <w:tmpl w:val="654E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292A02"/>
    <w:multiLevelType w:val="multilevel"/>
    <w:tmpl w:val="80A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75468"/>
    <w:multiLevelType w:val="multilevel"/>
    <w:tmpl w:val="AE5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432152">
    <w:abstractNumId w:val="0"/>
  </w:num>
  <w:num w:numId="2" w16cid:durableId="1520966087">
    <w:abstractNumId w:val="5"/>
  </w:num>
  <w:num w:numId="3" w16cid:durableId="1767769853">
    <w:abstractNumId w:val="1"/>
  </w:num>
  <w:num w:numId="4" w16cid:durableId="428430867">
    <w:abstractNumId w:val="2"/>
  </w:num>
  <w:num w:numId="5" w16cid:durableId="1543400948">
    <w:abstractNumId w:val="4"/>
  </w:num>
  <w:num w:numId="6" w16cid:durableId="1366708337">
    <w:abstractNumId w:val="6"/>
  </w:num>
  <w:num w:numId="7" w16cid:durableId="193720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FA"/>
    <w:rsid w:val="00266B8D"/>
    <w:rsid w:val="0034451D"/>
    <w:rsid w:val="007059FA"/>
    <w:rsid w:val="00716F5B"/>
    <w:rsid w:val="008C3BE8"/>
    <w:rsid w:val="00A4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FD24"/>
  <w15:chartTrackingRefBased/>
  <w15:docId w15:val="{26A4E659-722D-4E50-B4C7-29C62578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59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59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59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59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5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59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59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59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59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5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9FA"/>
    <w:rPr>
      <w:rFonts w:eastAsiaTheme="majorEastAsia" w:cstheme="majorBidi"/>
      <w:color w:val="272727" w:themeColor="text1" w:themeTint="D8"/>
    </w:rPr>
  </w:style>
  <w:style w:type="paragraph" w:styleId="Title">
    <w:name w:val="Title"/>
    <w:basedOn w:val="Normal"/>
    <w:next w:val="Normal"/>
    <w:link w:val="TitleChar"/>
    <w:uiPriority w:val="10"/>
    <w:qFormat/>
    <w:rsid w:val="00705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9FA"/>
    <w:pPr>
      <w:spacing w:before="160"/>
      <w:jc w:val="center"/>
    </w:pPr>
    <w:rPr>
      <w:i/>
      <w:iCs/>
      <w:color w:val="404040" w:themeColor="text1" w:themeTint="BF"/>
    </w:rPr>
  </w:style>
  <w:style w:type="character" w:customStyle="1" w:styleId="QuoteChar">
    <w:name w:val="Quote Char"/>
    <w:basedOn w:val="DefaultParagraphFont"/>
    <w:link w:val="Quote"/>
    <w:uiPriority w:val="29"/>
    <w:rsid w:val="007059FA"/>
    <w:rPr>
      <w:i/>
      <w:iCs/>
      <w:color w:val="404040" w:themeColor="text1" w:themeTint="BF"/>
    </w:rPr>
  </w:style>
  <w:style w:type="paragraph" w:styleId="ListParagraph">
    <w:name w:val="List Paragraph"/>
    <w:basedOn w:val="Normal"/>
    <w:uiPriority w:val="34"/>
    <w:qFormat/>
    <w:rsid w:val="007059FA"/>
    <w:pPr>
      <w:ind w:left="720"/>
      <w:contextualSpacing/>
    </w:pPr>
  </w:style>
  <w:style w:type="character" w:styleId="IntenseEmphasis">
    <w:name w:val="Intense Emphasis"/>
    <w:basedOn w:val="DefaultParagraphFont"/>
    <w:uiPriority w:val="21"/>
    <w:qFormat/>
    <w:rsid w:val="007059FA"/>
    <w:rPr>
      <w:i/>
      <w:iCs/>
      <w:color w:val="2F5496" w:themeColor="accent1" w:themeShade="BF"/>
    </w:rPr>
  </w:style>
  <w:style w:type="paragraph" w:styleId="IntenseQuote">
    <w:name w:val="Intense Quote"/>
    <w:basedOn w:val="Normal"/>
    <w:next w:val="Normal"/>
    <w:link w:val="IntenseQuoteChar"/>
    <w:uiPriority w:val="30"/>
    <w:qFormat/>
    <w:rsid w:val="00705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59FA"/>
    <w:rPr>
      <w:i/>
      <w:iCs/>
      <w:color w:val="2F5496" w:themeColor="accent1" w:themeShade="BF"/>
    </w:rPr>
  </w:style>
  <w:style w:type="character" w:styleId="IntenseReference">
    <w:name w:val="Intense Reference"/>
    <w:basedOn w:val="DefaultParagraphFont"/>
    <w:uiPriority w:val="32"/>
    <w:qFormat/>
    <w:rsid w:val="00705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Sajid</dc:creator>
  <cp:keywords/>
  <dc:description/>
  <cp:lastModifiedBy>Zainab Sajid</cp:lastModifiedBy>
  <cp:revision>1</cp:revision>
  <dcterms:created xsi:type="dcterms:W3CDTF">2025-09-11T12:58:00Z</dcterms:created>
  <dcterms:modified xsi:type="dcterms:W3CDTF">2025-09-11T12:58:00Z</dcterms:modified>
</cp:coreProperties>
</file>